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3EA" w:rsidRDefault="007353EA" w:rsidP="007353EA">
      <w:pPr>
        <w:pStyle w:val="6"/>
        <w:shd w:val="clear" w:color="auto" w:fill="FFFFFF"/>
        <w:ind w:left="480"/>
        <w:rPr>
          <w:rFonts w:ascii="Tahoma" w:hAnsi="Tahoma" w:cs="Tahoma"/>
          <w:lang/>
        </w:rPr>
      </w:pP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麥芽飲品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炒熟的麥芽可做退乳之用。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酒精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適量有助分泌乳汁，原則上每公斤體重不得超過一公克；過量地攝取酒精，會降低噴乳反射。</w:t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麥芽飲品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炒熟的麥芽可做退乳之用。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酒精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適量有助分泌乳汁，原則上每公斤體重不得超過一公克；過量地攝取酒精，會降低噴乳反射。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31"/>
          <w:szCs w:val="31"/>
        </w:rPr>
        <w:t>基隆市和平國民小學校園性侵害、性騷擾及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31"/>
          <w:szCs w:val="31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31"/>
          <w:szCs w:val="31"/>
        </w:rPr>
        <w:t xml:space="preserve">防治規定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jc w:val="righ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0"/>
          <w:szCs w:val="20"/>
        </w:rPr>
        <w:t>101年3月16日臨時校務會議通過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一、為預防與處理校園性侵害、性騷擾及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事件，本校依「性別平等教育法」、「性騷擾防治法」及「校園性侵害或性騷擾防治準則」訂定本防治規定，並公告周知。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二、本防治規定之用詞定義如下: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（一）性侵害：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指性侵害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犯罪防治法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所稱性侵害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犯罪之行為。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（二）性騷擾：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指性侵害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犯罪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以外，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對他人實施違反其意願而與性或性別有關之行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為， 且有下列情形之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一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者：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ind w:left="825" w:hanging="360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1.</w:t>
      </w:r>
      <w:r w:rsidRPr="00905F48">
        <w:rPr>
          <w:rFonts w:ascii="Times New Roman" w:eastAsia="新細明體" w:hAnsi="Times New Roman" w:cs="Times New Roman"/>
          <w:color w:val="666666"/>
          <w:kern w:val="0"/>
          <w:sz w:val="14"/>
          <w:szCs w:val="14"/>
        </w:rPr>
        <w:t xml:space="preserve"> </w:t>
      </w: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以該他人順從或拒絕該行為，作為其獲得、喪失或減損與工作、教育、訓練、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ind w:left="825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服務、計畫、活動有關權益之條件。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ind w:left="825" w:hanging="360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2.</w:t>
      </w:r>
      <w:r w:rsidRPr="00905F48">
        <w:rPr>
          <w:rFonts w:ascii="Times New Roman" w:eastAsia="新細明體" w:hAnsi="Times New Roman" w:cs="Times New Roman"/>
          <w:color w:val="666666"/>
          <w:kern w:val="0"/>
          <w:sz w:val="14"/>
          <w:szCs w:val="14"/>
        </w:rPr>
        <w:t xml:space="preserve"> </w:t>
      </w: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以展示或傳播文字、圖畫、聲音、影像或其他物品之方式，或以歧視、侮辱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ind w:left="825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之言行，或以他法，而有損害他人人格尊嚴，或造成使人心生畏懼、感受敵意或冒犯之情境，或不當影響其工作、教育、訓練、服務、計畫、活動或正常生活之進行。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（三）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性霸凌：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指透過語言、肢體或其他暴力，對於他人之性別特徵、性別特質、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性傾向或性別認同進行貶抑、攻擊或威脅之行為且非屬性騷擾者。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（四）性別認同：指個人對自我歸屬性別的自我認知與接受。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（五）校園性侵害或性騷擾事件：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指性侵害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或性騷擾事件之一方為學校校長、教師、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職員、工友或學生，他方為學生者。包含不同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學校間所發生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者。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（六）教育人員 : 指學校校長、教師(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註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1)、職員、工友、社團教練、警衛、校護、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替代役、擴大服務人員等等。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註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1: 教師：指專任教師、兼任教師、代理教師、代課教師、護理教師、及其他執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行教學、研究或教育實習之人員。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三、為防治校園性侵害、性騷擾及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Cs w:val="24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Cs w:val="24"/>
        </w:rPr>
        <w:t>事件，由本校「性別平等教育委員會」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Cs w:val="24"/>
        </w:rPr>
        <w:t>研</w:t>
      </w:r>
      <w:proofErr w:type="gramEnd"/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proofErr w:type="gramStart"/>
      <w:r w:rsidRPr="00905F48">
        <w:rPr>
          <w:rFonts w:ascii="標楷體" w:eastAsia="標楷體" w:hAnsi="標楷體" w:cs="Arial"/>
          <w:color w:val="666666"/>
          <w:kern w:val="0"/>
          <w:szCs w:val="24"/>
        </w:rPr>
        <w:t>擬本防治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Cs w:val="24"/>
        </w:rPr>
        <w:t xml:space="preserve">規定，建立機制，並負責事件之調查處理。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四、本校除積極推動學生性侵害、性騷擾及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Cs w:val="24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Cs w:val="24"/>
        </w:rPr>
        <w:t xml:space="preserve">防治教育課程外，為提升本校教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職員工生尊重他人與自己性或身體自主之知能，各處室應合作實施下列措施 :</w:t>
      </w: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after="165"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（一）每年定期舉辦教職員工生校園性侵害、性騷擾及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防治之教育宣導活動，並評鑑其實施成效。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lastRenderedPageBreak/>
        <w:t>（二） 每年定期為性別平等教育委員會及負責校園性侵害、性騷擾及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事件處置相關單位之人員，辦理校內或鼓勵參加校外相關之在職進修及事件處置研習活動，參加人員給予公假或公差假登記。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（三）將本規定納入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教職員工聘約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（四）鼓勵事件被害人或檢舉人儘早申請調查或檢舉，以利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蒐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證及調查處理。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（五）辦理教職員工之職前教育、新進人員培訓、在職進修納入性別平等教育暨性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侵害、性騷擾、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防治課程。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五、依性別平等教育法第十七條，教師除應將性別平等教育融入課程外，每學期應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 xml:space="preserve">實施性別平等教育相關課程或活動至少四小時。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本校教職員工應注意下列事項 :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（一）於進行校內外教學與人際互動時，應尊重性別多元與個別差異。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（二）於執行教學、指導、訓練、評鑑、管理、輔導或提供學生工作機會時，在與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性或性別有關之人際互動上，不得發展有違專業倫理之關係。教師若發現其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與學生間之關係有違反前項專業倫理之虞時，應主動迴避教學、指導、訓練、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評鑑、管理、輔導或提供學生工作機會。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六、本校學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處應於知悉學生「性侵害、性騷擾或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性霸凌」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事件十五分鐘內內向教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育部「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校安系統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」通報 ; 並應依「性侵害犯罪防治法」第八條及其他相關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法律規定於知悉「性侵害」事件十五分鐘內至網路內政部「關懷e起來」通報。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另本校教育人員亦應於知悉學生「性侵害、性騷擾及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性霸凌」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事件時通知學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處，並依「性侵害犯罪防治法」第八條及其他相關法律規定於知悉「性侵害」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事件十五分鐘內至網路內政部「關懷e起來」通報。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通報時，除有調查必要，基於公共安全之考量或法規另有特別規定者外，對於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當事人及檢舉人之姓名或其他足以辨識其身分之資料，應予保密。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七、校園性侵害、性騷擾及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事件之被害人或其法定代理人（以下簡稱申請人），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或任何知悉有構成性侵害、性騷擾及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性霸凌之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檢舉人，得以書面或口頭方式向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本校學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處申請調查。倘申請或檢舉之案件非屬本校權管者，由學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處將該案件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於七日內移送其他有管轄權者。倘申訴或檢舉加害人為本校校長時，移請本市教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育處申請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調查之。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八、申請(檢舉)校園性侵害、性騷擾及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事件申請調查之程序如下：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（一）申請(檢舉)人填具申訴書（附件一），載明下列事項，向學校學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處提出：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1.申請（檢舉）人姓名、身分證字號、出生年月日、就學之單位或服務機關及職稱、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住居所、聯絡電話、 申請日期。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2.申請人之法定代理人，其姓名、身分證字號、出生年月日、住居所、聯絡電話。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3.事件之事實及內容。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4.可取得之相關事證或人證。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lastRenderedPageBreak/>
        <w:t>（二）申請（檢舉）人如以口頭申請，本校學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處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代其填妥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申請書，經向其朗讀或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使閱覽，確認內容無誤後，由其簽名或蓋章。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（三）申請（檢舉）人得以傳真、書信、電子郵件等方式提出。必要時，得先行以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口頭申請，並於二日內以書面補正。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（四）申請（檢舉）人於案件調查處理期間撤回者，應以書面為之。學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處於三個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工作日內將事件送達「性別平等教育委員會」。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（五）性別平等教育委員會之調查處理，不受該事件司法程序是否進行及處理結果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之影響。調查程序亦不因行為人喪失原身分而中止。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（六）非本校教職員工擔任調查之人員撰寫調查報告書，得支領撰稿費，經延聘或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受邀之學者專家出席調查會議時，得支給出席費。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（七）本校性別平等教育委員會應於受理申請或檢舉後二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個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月內完成調查及報告。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必要時得延長之，延長以二次為限，每次不得逾一個月，並應通知申請人(檢舉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人)及行為人。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（八）調查小組置發言人一人。調查結束後，將結果作成調查報告書，提性別平等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教育委員會審議。性別平等教育委員會會議以不公開為原則。主任委員如因故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無法主持會議時，得就委員中指定一人代理之。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（九）調查報告經性別平等教育委員會審議後，性別平等教育委員會應將調查報告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及處理建議以書面向本校提出報告。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（十）本校應於接獲事件調查報告後二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個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月內自行或移送相關權責機關依規定議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處，並將處理之結果以書面通知申請人(檢舉人)及行為人，同時告知申復之期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限及受理單位，並責令不得報復。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（十一）性別平等教育委員會應採取事後之追蹤考核監督，確保所作裁決確實有效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執行，避免相同事件或有報復情事之發生。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（十二）申請人(檢舉人)及行為人對本校處理之結果不服者，得於收到書面通知次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日起二十日內，以書面具明理由向本校學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務處申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復。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（十三）學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務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處接獲申復後，如發現調查程序有重大瑕疵或有足以影響原調查認定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之新事實、新證據時，得要求性別平等教育委員會重新調查，並於二十日內以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書面通知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申復人申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復結果。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（十四）性別平等教育委員會於接獲重新調查之要求時，應另組調查小組調查之。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（十五）申請人(檢舉人)或行為人對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本校之申復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結果不服，得於接獲書面通知書之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次日起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三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十日內，依本法第三十四條規定提起救濟。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（十六）本校負責處理校園性侵害、性騷擾及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事件之所有人員，對於性侵害、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事件之當事人、檢舉人及證人之姓名及其他足以辨識身分之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資料除有調查之必要或基於公共安全之考量者外，應予保密。負保密義務者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洩</w:t>
      </w:r>
      <w:proofErr w:type="gramEnd"/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密時，應依刑法或其他相關法規處罰。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（十七）性別平等教育委員會委員如涉及申訴事項或有其他事由，足認其有偏頗之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虞者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，該委員應自行迴避，申訴當事人及利害關係人亦得聲請其迴避。前項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迴</w:t>
      </w:r>
      <w:proofErr w:type="gramEnd"/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避與否，得由性別平等教育委員會決定之。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lastRenderedPageBreak/>
        <w:t>（十八）事件經調查屬實後，本校應依相關法律或法規規定自行或將加害人移送其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他權責機關懲處。其經證實有誣告之事實者，亦依法對申請人(檢舉人)為適當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之懲處。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本校為性騷擾事件之懲處時，並得命加害人為下列一款或數款之處置：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1.經被害人或其法定代理人之同意，向被害人道歉。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2.接受八小時之性別平等教育相關課程。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3.接受心理輔導。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4.其他符合教育目的之措施。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第一項懲處涉及加害人身分之改變時，應給予其書面陳述意見之機會。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（十九）為保障校園性侵害、性騷擾及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事件當事人之受教權或工作權，本校於必要時得為下列處置：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1.彈性處理當事人之出缺勤紀錄或成績考核，並積極協助其課業或職務。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2.尊重被害人之意願，減低當事人雙方互動之機會。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3.採取必要處置，以避免報復情事。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4.減低行為人再度加害之可能。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5.其他性別平等教育委員會認為必要之處置。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（二十）本校輔導教師應視當事人之身心狀況，主動轉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介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至各相關機構，並於必要時協同相關處室提供心理諮商輔導、法律諮詢管道、課業協助、經濟協助及其他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性別平等教育委員會認為必要之協助。所需費用，由本校編列預算支應之。但本校就該事件仍應依法為調查處理。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（二十一）輔導教師應依規定建立檔案資料，由專人負責保管，並依規定通報加害人現就讀或服務之學校。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（二十二）人事室或輔導教師應針對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他校轉任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或轉讀之教職員工或學生加害人實施必要之追蹤觀察輔導，非有正當理由，並不得公布加害人之姓名或其他足以識別其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身分之資料。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Cs w:val="24"/>
        </w:rPr>
        <w:t>九、「校園安全規劃」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Cs w:val="24"/>
        </w:rPr>
        <w:t>學校為防治校園性侵害或性騷擾，應採取下列措施改善校園危險空間：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Cs w:val="24"/>
        </w:rPr>
        <w:t xml:space="preserve">1.依空間配置、管理與保全、標示系統、求救系統與安全路線、照明與空間穿透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Cs w:val="24"/>
        </w:rPr>
        <w:t xml:space="preserve">性及其他空間安全要素等，定期檢討校園空間與設施之使用情形及檢視校園整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Cs w:val="24"/>
        </w:rPr>
        <w:t>體安全。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2.記錄校園內曾經發生性侵害或性騷擾事件之空間，並依實際需要繪製校園危險地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圖。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3. 學校應定期舉行校園空間安全檢視說明會，邀集專業空間設計者、教職員工生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及其他校園使用者參與，公告前條檢視成果及相關紀錄，並檢視校園危險空間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Cs w:val="24"/>
        </w:rPr>
        <w:t>改善進度。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lastRenderedPageBreak/>
        <w:t>十、校園性侵害、性騷擾及</w:t>
      </w:r>
      <w:proofErr w:type="gramStart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>性霸凌</w:t>
      </w:r>
      <w:proofErr w:type="gramEnd"/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防治工作所需經費由本校相關預算項下支應。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Arial" w:eastAsia="新細明體" w:hAnsi="Arial" w:cs="Arial"/>
          <w:color w:val="666666"/>
          <w:kern w:val="0"/>
          <w:sz w:val="19"/>
          <w:szCs w:val="19"/>
        </w:rPr>
      </w:pPr>
      <w:r w:rsidRPr="00905F48">
        <w:rPr>
          <w:rFonts w:ascii="標楷體" w:eastAsia="標楷體" w:hAnsi="標楷體" w:cs="Arial"/>
          <w:color w:val="666666"/>
          <w:kern w:val="0"/>
          <w:sz w:val="23"/>
          <w:szCs w:val="23"/>
        </w:rPr>
        <w:t xml:space="preserve">十一、本防治規定未盡事宜，由本校補充規定之。 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 w:val="23"/>
          <w:szCs w:val="23"/>
        </w:rPr>
        <w:t>十二、本規定經校務會議討論通過陳校長核定後實施，修正時亦同。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 w:val="23"/>
          <w:szCs w:val="23"/>
        </w:rPr>
        <w:t>承辦人： 單位主管： 機關首長：</w:t>
      </w:r>
    </w:p>
    <w:p w:rsidR="00905F48" w:rsidRPr="00905F48" w:rsidRDefault="00905F48" w:rsidP="00905F48">
      <w:pPr>
        <w:widowControl/>
        <w:shd w:val="clear" w:color="auto" w:fill="FFFFFF"/>
        <w:wordWrap w:val="0"/>
        <w:spacing w:line="360" w:lineRule="atLeast"/>
        <w:rPr>
          <w:rFonts w:ascii="新細明體" w:eastAsia="新細明體" w:hAnsi="新細明體" w:cs="新細明體"/>
          <w:color w:val="666666"/>
          <w:kern w:val="0"/>
          <w:szCs w:val="24"/>
        </w:rPr>
      </w:pPr>
      <w:r w:rsidRPr="00905F48">
        <w:rPr>
          <w:rFonts w:ascii="標楷體" w:eastAsia="標楷體" w:hAnsi="標楷體" w:cs="新細明體" w:hint="eastAsia"/>
          <w:color w:val="666666"/>
          <w:kern w:val="0"/>
          <w:sz w:val="28"/>
          <w:szCs w:val="28"/>
        </w:rPr>
        <w:t>基隆市和平國小校園性侵害、性騷擾及</w:t>
      </w:r>
      <w:proofErr w:type="gramStart"/>
      <w:r w:rsidRPr="00905F48">
        <w:rPr>
          <w:rFonts w:ascii="標楷體" w:eastAsia="標楷體" w:hAnsi="標楷體" w:cs="新細明體" w:hint="eastAsia"/>
          <w:color w:val="666666"/>
          <w:kern w:val="0"/>
          <w:sz w:val="28"/>
          <w:szCs w:val="28"/>
        </w:rPr>
        <w:t>性霸凌</w:t>
      </w:r>
      <w:proofErr w:type="gramEnd"/>
      <w:r w:rsidRPr="00905F48">
        <w:rPr>
          <w:rFonts w:ascii="標楷體" w:eastAsia="標楷體" w:hAnsi="標楷體" w:cs="新細明體" w:hint="eastAsia"/>
          <w:color w:val="666666"/>
          <w:kern w:val="0"/>
          <w:sz w:val="28"/>
          <w:szCs w:val="28"/>
        </w:rPr>
        <w:t>事件調查處理責任分工表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71"/>
        <w:gridCol w:w="2811"/>
        <w:gridCol w:w="2840"/>
      </w:tblGrid>
      <w:tr w:rsidR="00905F48" w:rsidRPr="00905F48" w:rsidTr="00905F48">
        <w:tc>
          <w:tcPr>
            <w:tcW w:w="3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工 作 內 容 </w:t>
            </w:r>
          </w:p>
        </w:tc>
        <w:tc>
          <w:tcPr>
            <w:tcW w:w="3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負責單位 </w:t>
            </w:r>
          </w:p>
        </w:tc>
        <w:tc>
          <w:tcPr>
            <w:tcW w:w="3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注 意 事 項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事件申訴、受理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學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務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處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1.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不服之申復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得由學校指定申復單位， 告知權益及資源並於20日內通知受理 與否。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2.依通報申訴流程圖辦理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通報校安中心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通報系統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學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務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處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1.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校安中心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系統通報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及填寄回復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表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2.應以密件處理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433"/>
              <w:gridCol w:w="222"/>
            </w:tblGrid>
            <w:tr w:rsidR="00905F48" w:rsidRPr="00905F48">
              <w:trPr>
                <w:trHeight w:val="26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05F48" w:rsidRPr="00905F48" w:rsidRDefault="00905F48" w:rsidP="00905F48">
                  <w:pPr>
                    <w:widowControl/>
                    <w:wordWrap w:val="0"/>
                    <w:spacing w:line="360" w:lineRule="atLeast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905F48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通報內政部「關懷e起來」</w:t>
                  </w:r>
                  <w:proofErr w:type="gramStart"/>
                  <w:r w:rsidRPr="00905F48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>家暴暨性</w:t>
                  </w:r>
                  <w:proofErr w:type="gramEnd"/>
                  <w:r w:rsidRPr="00905F48">
                    <w:rPr>
                      <w:rFonts w:ascii="標楷體" w:eastAsia="標楷體" w:hAnsi="標楷體" w:cs="新細明體" w:hint="eastAsia"/>
                      <w:color w:val="000000"/>
                      <w:kern w:val="0"/>
                      <w:szCs w:val="24"/>
                    </w:rPr>
                    <w:t xml:space="preserve">侵害防治中心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05F48" w:rsidRPr="00905F48" w:rsidRDefault="00905F48" w:rsidP="00905F48">
                  <w:pPr>
                    <w:widowControl/>
                    <w:rPr>
                      <w:rFonts w:ascii="Arial" w:eastAsia="新細明體" w:hAnsi="Arial" w:cs="Arial"/>
                      <w:kern w:val="0"/>
                      <w:sz w:val="19"/>
                      <w:szCs w:val="19"/>
                    </w:rPr>
                  </w:pPr>
                </w:p>
              </w:tc>
            </w:tr>
          </w:tbl>
          <w:p w:rsidR="00905F48" w:rsidRPr="00905F48" w:rsidRDefault="00905F48" w:rsidP="00905F48">
            <w:pPr>
              <w:widowControl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輔導教師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性侵害犯罪事件通報表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1.電話 2.傳真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3.電子信箱；應以密件處理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調查或申復行政協調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性別平等委員會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性平會依法組成小組調查處理，完成報告及處理建議後交學校依相關法屉處置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危機處理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由校長啟動危機 處理小組機制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1.通知家長/監護人（家內亂倫及家暴事 件除外）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2.危機介入（情緒支持與尚理諮商）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3.依危機處理流程辦理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媒體公關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單一發言窗口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1.由校長指定專人對外發言（可參考危機處理時應注意的溝通原則）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2.建立單一窗口，紀錄處理過程並主動回應媒體及回報教育處（教育部）。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輔導諮商及資源轉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介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輔導教師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※輔導對象：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1.受害者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2.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展害者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lastRenderedPageBreak/>
              <w:t xml:space="preserve">3.其屆相關人員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※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展強與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社會工作專業人員之聯繫 ※ </w:t>
            </w:r>
          </w:p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>※依輔導轉</w:t>
            </w:r>
            <w:proofErr w:type="gramStart"/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>介</w:t>
            </w:r>
            <w:proofErr w:type="gramEnd"/>
            <w:r w:rsidRPr="00905F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流程辦理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lastRenderedPageBreak/>
              <w:t xml:space="preserve">懲處或申復之執行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學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務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處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事件經學校調查處理確定屬實者，學校 應自行或移送權責機關懲處 </w:t>
            </w:r>
          </w:p>
        </w:tc>
      </w:tr>
      <w:tr w:rsidR="00905F48" w:rsidRPr="00905F48" w:rsidTr="00905F48">
        <w:tc>
          <w:tcPr>
            <w:tcW w:w="3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結案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學</w:t>
            </w:r>
            <w:proofErr w:type="gramStart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>務</w:t>
            </w:r>
            <w:proofErr w:type="gramEnd"/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處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F48" w:rsidRPr="00905F48" w:rsidRDefault="00905F48" w:rsidP="00905F48">
            <w:pPr>
              <w:widowControl/>
              <w:wordWrap w:val="0"/>
              <w:spacing w:line="360" w:lineRule="atLeast"/>
              <w:rPr>
                <w:rFonts w:ascii="Arial" w:eastAsia="新細明體" w:hAnsi="Arial" w:cs="Arial"/>
                <w:kern w:val="0"/>
                <w:sz w:val="19"/>
                <w:szCs w:val="19"/>
              </w:rPr>
            </w:pPr>
            <w:r w:rsidRPr="00905F48">
              <w:rPr>
                <w:rFonts w:ascii="標楷體" w:eastAsia="標楷體" w:hAnsi="標楷體" w:cs="Arial"/>
                <w:kern w:val="0"/>
                <w:sz w:val="19"/>
                <w:szCs w:val="19"/>
              </w:rPr>
              <w:t xml:space="preserve">檔案管理及追蹤輔導 </w:t>
            </w:r>
          </w:p>
        </w:tc>
      </w:tr>
    </w:tbl>
    <w:p w:rsidR="007353EA" w:rsidRDefault="007353EA" w:rsidP="007353EA">
      <w:pPr>
        <w:pStyle w:val="6"/>
        <w:shd w:val="clear" w:color="auto" w:fill="FFFFFF"/>
        <w:rPr>
          <w:rFonts w:ascii="Tahoma" w:hAnsi="Tahoma" w:cs="Tahoma"/>
          <w:vanish/>
          <w:lang/>
        </w:rPr>
      </w:pPr>
    </w:p>
    <w:p w:rsidR="007353EA" w:rsidRDefault="007353EA" w:rsidP="007353EA">
      <w:pPr>
        <w:pStyle w:val="6"/>
        <w:shd w:val="clear" w:color="auto" w:fill="FFFFFF"/>
        <w:rPr>
          <w:rFonts w:ascii="Tahoma" w:hAnsi="Tahoma" w:cs="Tahoma"/>
          <w:vanish/>
          <w:lang/>
        </w:rPr>
      </w:pP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人蔘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產婦最好不要吃，不但有退乳作用，還易造成子宮收縮和出血。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麥芽飲品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炒熟的麥芽可做退乳之用。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酒精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適量有助分泌乳汁，原則上每公斤體重不得超過一公克；過量地攝取酒精，會降低噴乳反射。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牛奶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有過敏家族史者可避免。</w:t>
      </w:r>
      <w:r>
        <w:rPr>
          <w:rFonts w:ascii="Tahoma" w:hAnsi="Tahoma" w:cs="Tahoma"/>
          <w:vanish/>
          <w:lang/>
        </w:rPr>
        <w:t xml:space="preserve"> </w:t>
      </w:r>
      <w:r>
        <w:rPr>
          <w:rFonts w:ascii="Tahoma" w:hAnsi="Tahoma" w:cs="Tahoma"/>
          <w:vanish/>
          <w:lang/>
        </w:rPr>
        <w:br/>
      </w:r>
      <w:r>
        <w:rPr>
          <w:rFonts w:ascii="Tahoma" w:hAnsi="Tahoma" w:cs="Tahoma"/>
          <w:vanish/>
          <w:lang/>
        </w:rPr>
        <w:br/>
      </w:r>
      <w:r>
        <w:rPr>
          <w:rFonts w:hint="eastAsia"/>
          <w:vanish/>
          <w:lang/>
        </w:rPr>
        <w:t>◆</w:t>
      </w:r>
      <w:r>
        <w:rPr>
          <w:rFonts w:ascii="Tahoma" w:hAnsi="Tahoma" w:cs="Tahoma"/>
          <w:vanish/>
          <w:lang/>
        </w:rPr>
        <w:t>刺激性食物</w:t>
      </w:r>
      <w:r>
        <w:rPr>
          <w:rFonts w:hint="eastAsia"/>
          <w:vanish/>
          <w:lang/>
        </w:rPr>
        <w:t>→</w:t>
      </w:r>
      <w:r>
        <w:rPr>
          <w:rFonts w:ascii="Tahoma" w:hAnsi="Tahoma" w:cs="Tahoma"/>
          <w:vanish/>
          <w:lang/>
        </w:rPr>
        <w:t>咖啡、茶、巧克力、可樂等，會間接刺激到寶寶，造成半夜哭鬧。</w:t>
      </w:r>
    </w:p>
    <w:p w:rsidR="00590169" w:rsidRDefault="00590169"/>
    <w:sectPr w:rsidR="00590169" w:rsidSect="005901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F48" w:rsidRDefault="00905F48" w:rsidP="00905F48">
      <w:r>
        <w:separator/>
      </w:r>
    </w:p>
  </w:endnote>
  <w:endnote w:type="continuationSeparator" w:id="0">
    <w:p w:rsidR="00905F48" w:rsidRDefault="00905F48" w:rsidP="00905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F48" w:rsidRDefault="00905F48" w:rsidP="00905F48">
      <w:r>
        <w:separator/>
      </w:r>
    </w:p>
  </w:footnote>
  <w:footnote w:type="continuationSeparator" w:id="0">
    <w:p w:rsidR="00905F48" w:rsidRDefault="00905F48" w:rsidP="00905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01646"/>
    <w:multiLevelType w:val="multilevel"/>
    <w:tmpl w:val="5762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871E4"/>
    <w:multiLevelType w:val="multilevel"/>
    <w:tmpl w:val="0CC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191765"/>
    <w:multiLevelType w:val="multilevel"/>
    <w:tmpl w:val="5EE62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53EA"/>
    <w:rsid w:val="00590169"/>
    <w:rsid w:val="007353EA"/>
    <w:rsid w:val="0090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69"/>
    <w:pPr>
      <w:widowControl w:val="0"/>
    </w:pPr>
  </w:style>
  <w:style w:type="paragraph" w:styleId="6">
    <w:name w:val="heading 6"/>
    <w:basedOn w:val="a"/>
    <w:link w:val="60"/>
    <w:uiPriority w:val="9"/>
    <w:qFormat/>
    <w:rsid w:val="007353EA"/>
    <w:pPr>
      <w:widowControl/>
      <w:outlineLvl w:val="5"/>
    </w:pPr>
    <w:rPr>
      <w:rFonts w:ascii="新細明體" w:eastAsia="新細明體" w:hAnsi="新細明體" w:cs="新細明體"/>
      <w:b/>
      <w:bCs/>
      <w:color w:val="333333"/>
      <w:kern w:val="0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uiPriority w:val="9"/>
    <w:rsid w:val="007353EA"/>
    <w:rPr>
      <w:rFonts w:ascii="新細明體" w:eastAsia="新細明體" w:hAnsi="新細明體" w:cs="新細明體"/>
      <w:b/>
      <w:bCs/>
      <w:color w:val="333333"/>
      <w:kern w:val="0"/>
      <w:sz w:val="14"/>
      <w:szCs w:val="14"/>
    </w:rPr>
  </w:style>
  <w:style w:type="character" w:customStyle="1" w:styleId="textexposedhide2">
    <w:name w:val="text_exposed_hide2"/>
    <w:basedOn w:val="a0"/>
    <w:rsid w:val="007353EA"/>
  </w:style>
  <w:style w:type="character" w:customStyle="1" w:styleId="textexposedlink4">
    <w:name w:val="text_exposed_link4"/>
    <w:basedOn w:val="a0"/>
    <w:rsid w:val="007353EA"/>
    <w:rPr>
      <w:sz w:val="10"/>
      <w:szCs w:val="10"/>
    </w:rPr>
  </w:style>
  <w:style w:type="paragraph" w:styleId="a3">
    <w:name w:val="header"/>
    <w:basedOn w:val="a"/>
    <w:link w:val="a4"/>
    <w:uiPriority w:val="99"/>
    <w:semiHidden/>
    <w:unhideWhenUsed/>
    <w:rsid w:val="00905F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05F4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05F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05F4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9147">
                          <w:marLeft w:val="-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1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232992">
                                  <w:marLeft w:val="0"/>
                                  <w:marRight w:val="-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84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96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51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735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520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17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114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96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8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78821">
                          <w:marLeft w:val="-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4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3134">
                                  <w:marLeft w:val="0"/>
                                  <w:marRight w:val="-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7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49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85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62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87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32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084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565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051139">
      <w:bodyDiv w:val="1"/>
      <w:marLeft w:val="0"/>
      <w:marRight w:val="0"/>
      <w:marTop w:val="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5404">
              <w:marLeft w:val="0"/>
              <w:marRight w:val="-1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02476">
                  <w:marLeft w:val="0"/>
                  <w:marRight w:val="1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06612">
                              <w:marLeft w:val="0"/>
                              <w:marRight w:val="0"/>
                              <w:marTop w:val="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23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947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581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15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33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1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92402">
                          <w:marLeft w:val="-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612373">
                                  <w:marLeft w:val="0"/>
                                  <w:marRight w:val="-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6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21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3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127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914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81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533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053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7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9752">
                          <w:marLeft w:val="-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947261">
                                  <w:marLeft w:val="0"/>
                                  <w:marRight w:val="-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09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6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77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47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317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197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25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263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52995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7897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2012-08-21T05:05:00Z</dcterms:created>
  <dcterms:modified xsi:type="dcterms:W3CDTF">2012-08-21T05:42:00Z</dcterms:modified>
</cp:coreProperties>
</file>